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bidi/>
        <w:spacing w:before="1700"/>
        <w:jc w:val="right"/>
      </w:pPr>
    </w:p>
    <w:tbl>
      <w:tblPr>
        <w:bidiVisual/>
        <w:tblW w:type="pct" w:w="100%"/>
        <w:tblBorders>
          <w:top w:val="none"/>
          <w:left w:val="none"/>
          <w:bottom w:val="none"/>
          <w:right w:val="none"/>
          <w:insideH w:val="none"/>
          <w:insideV w:val="none"/>
        </w:tblBorders>
      </w:tblPr>
      <w:tblGrid>
        <w:gridCol w:w="100"/>
      </w:tblGrid>
      <w:tr>
        <w:tc>
          <w:tcPr>
            <w:tcBorders>
              <w:top w:val="none"/>
              <w:left w:val="none"/>
              <w:bottom w:val="none"/>
              <w:right w:val="none"/>
            </w:tcBorders>
            <w:shd w:fill="0E7C86" w:color="auto" w:val="clear"/>
            <w:tcMar>
              <w:top w:type="dxa" w:w="900"/>
              <w:left w:type="dxa" w:w="560"/>
              <w:bottom w:type="dxa" w:w="900"/>
              <w:right w:type="dxa" w:w="560"/>
            </w:tcMar>
            <w:vAlign w:val="center"/>
          </w:tcPr>
          <w:p>
            <w:pPr>
              <w:bidi/>
              <w:spacing w:after="220"/>
              <w:jc w:val="center"/>
            </w:pPr>
            <w:r>
              <w:rPr>
                <w:rFonts w:ascii="Arial" w:cs="Arial" w:eastAsia="Arial" w:hAnsi="Arial"/>
                <w:b/>
                <w:bCs/>
                <w:color w:val="BFE3E6"/>
                <w:spacing w:val="60"/>
                <w:sz w:val="22"/>
                <w:szCs w:val="22"/>
                <w:rtl/>
              </w:rPr>
              <w:t xml:space="preserve">بحث أكاديمي</w:t>
            </w:r>
          </w:p>
          <w:p>
            <w:pPr>
              <w:bidi/>
              <w:spacing w:after="200"/>
              <w:jc w:val="center"/>
            </w:pPr>
            <w:r>
              <w:rPr>
                <w:rFonts w:ascii="Arial" w:cs="Arial" w:eastAsia="Arial" w:hAnsi="Arial"/>
                <w:b/>
                <w:bCs/>
                <w:color w:val="FFFFFF"/>
                <w:sz w:val="52"/>
                <w:szCs w:val="52"/>
                <w:rtl/>
              </w:rPr>
              <w:t xml:space="preserve">أثر الذكاء الاصطناعي على التعليم الجامعي في المملكة العربية السعودية</w:t>
            </w:r>
          </w:p>
          <w:p>
            <w:pPr>
              <w:pBdr>
                <w:bottom w:val="single" w:color="C8902A" w:sz="14" w:space="1"/>
              </w:pBdr>
              <w:bidi/>
              <w:jc w:val="center"/>
            </w:pPr>
          </w:p>
        </w:tc>
      </w:tr>
    </w:tbl>
    <w:p>
      <w:pPr>
        <w:bidi/>
        <w:spacing w:after="60" w:before="1300"/>
        <w:jc w:val="center"/>
      </w:pPr>
      <w:r>
        <w:rPr>
          <w:rFonts w:ascii="Arial" w:cs="Arial" w:eastAsia="Arial" w:hAnsi="Arial"/>
          <w:b/>
          <w:bCs/>
          <w:color w:val="1F2A2E"/>
          <w:sz w:val="24"/>
          <w:szCs w:val="24"/>
          <w:rtl/>
        </w:rPr>
        <w:t xml:space="preserve">إعداد الطالب</w:t>
      </w:r>
    </w:p>
    <w:p>
      <w:pPr>
        <w:bidi/>
        <w:spacing w:after="260"/>
        <w:jc w:val="center"/>
      </w:pPr>
      <w:r>
        <w:rPr>
          <w:rFonts w:ascii="Arial" w:cs="Arial" w:eastAsia="Arial" w:hAnsi="Arial"/>
          <w:color w:val="5A6E72"/>
          <w:sz w:val="24"/>
          <w:szCs w:val="24"/>
          <w:rtl/>
        </w:rPr>
        <w:t xml:space="preserve">____________________</w:t>
      </w:r>
    </w:p>
    <w:p>
      <w:pPr>
        <w:bidi/>
        <w:spacing w:after="60"/>
        <w:jc w:val="center"/>
      </w:pPr>
      <w:r>
        <w:rPr>
          <w:rFonts w:ascii="Arial" w:cs="Arial" w:eastAsia="Arial" w:hAnsi="Arial"/>
          <w:b/>
          <w:bCs/>
          <w:color w:val="1F2A2E"/>
          <w:sz w:val="24"/>
          <w:szCs w:val="24"/>
          <w:rtl/>
        </w:rPr>
        <w:t xml:space="preserve">إشراف</w:t>
      </w:r>
    </w:p>
    <w:p>
      <w:pPr>
        <w:bidi/>
        <w:spacing w:after="320"/>
        <w:jc w:val="center"/>
      </w:pPr>
      <w:r>
        <w:rPr>
          <w:rFonts w:ascii="Arial" w:cs="Arial" w:eastAsia="Arial" w:hAnsi="Arial"/>
          <w:color w:val="5A6E72"/>
          <w:sz w:val="24"/>
          <w:szCs w:val="24"/>
          <w:rtl/>
        </w:rPr>
        <w:t xml:space="preserve">____________________</w:t>
      </w:r>
    </w:p>
    <w:p>
      <w:pPr>
        <w:bidi/>
        <w:jc w:val="center"/>
      </w:pPr>
      <w:r>
        <w:rPr>
          <w:rFonts w:ascii="Arial" w:cs="Arial" w:eastAsia="Arial" w:hAnsi="Arial"/>
          <w:color w:val="5A6E72"/>
          <w:sz w:val="22"/>
          <w:szCs w:val="22"/>
          <w:rtl/>
        </w:rPr>
        <w:t xml:space="preserve">التاريخ: ٢٨‏/٥‏/٢٠٢٦</w:t>
      </w:r>
    </w:p>
    <w:p>
      <w:r>
        <w:br w:type="page"/>
      </w:r>
    </w:p>
    <w:p>
      <w:pPr>
        <w:sectPr>
          <w:pgSz w:w="11906" w:h="16838" w:orient="portrait"/>
          <w:pgMar w:top="1440" w:right="1440" w:bottom="1440" w:left="1440" w:header="708" w:footer="708" w:gutter="0"/>
          <w:pgNumType/>
          <w:docGrid w:linePitch="360"/>
        </w:sectPr>
      </w:pPr>
    </w:p>
    <w:p>
      <w:pPr>
        <w:pStyle w:val="Heading1"/>
        <w:bidi/>
        <w:spacing w:after="60"/>
        <w:jc w:val="right"/>
      </w:pPr>
      <w:r>
        <w:rPr>
          <w:rFonts w:ascii="Arial" w:cs="Arial" w:eastAsia="Arial" w:hAnsi="Arial"/>
          <w:b/>
          <w:bCs/>
          <w:color w:val="0E7C86"/>
          <w:sz w:val="34"/>
          <w:szCs w:val="34"/>
          <w:rtl/>
        </w:rPr>
        <w:t xml:space="preserve">المحتويات</w:t>
      </w:r>
    </w:p>
    <w:p>
      <w:pPr>
        <w:pBdr>
          <w:bottom w:val="single" w:color="C8902A" w:sz="12" w:space="4"/>
        </w:pBdr>
        <w:bidi/>
        <w:spacing w:after="220"/>
        <w:jc w:val="right"/>
      </w:pPr>
    </w:p>
    <w:p>
      <w:pPr>
        <w:bidi/>
        <w:spacing w:after="120"/>
        <w:jc w:val="right"/>
      </w:pPr>
      <w:r>
        <w:rPr>
          <w:rFonts w:ascii="Arial" w:cs="Arial" w:eastAsia="Arial" w:hAnsi="Arial"/>
          <w:b/>
          <w:bCs/>
          <w:color w:val="C8902A"/>
          <w:sz w:val="24"/>
          <w:szCs w:val="24"/>
          <w:rtl/>
        </w:rPr>
        <w:t xml:space="preserve">01   </w:t>
      </w:r>
      <w:r>
        <w:rPr>
          <w:rFonts w:ascii="Arial" w:cs="Arial" w:eastAsia="Arial" w:hAnsi="Arial"/>
          <w:color w:val="1F2A2E"/>
          <w:sz w:val="24"/>
          <w:szCs w:val="24"/>
          <w:rtl/>
        </w:rPr>
        <w:t xml:space="preserve">المقدّمة</w:t>
      </w:r>
    </w:p>
    <w:p>
      <w:pPr>
        <w:bidi/>
        <w:spacing w:after="120"/>
        <w:jc w:val="right"/>
      </w:pPr>
      <w:r>
        <w:rPr>
          <w:rFonts w:ascii="Arial" w:cs="Arial" w:eastAsia="Arial" w:hAnsi="Arial"/>
          <w:b/>
          <w:bCs/>
          <w:color w:val="C8902A"/>
          <w:sz w:val="24"/>
          <w:szCs w:val="24"/>
          <w:rtl/>
        </w:rPr>
        <w:t xml:space="preserve">02   </w:t>
      </w:r>
      <w:r>
        <w:rPr>
          <w:rFonts w:ascii="Arial" w:cs="Arial" w:eastAsia="Arial" w:hAnsi="Arial"/>
          <w:color w:val="1F2A2E"/>
          <w:sz w:val="24"/>
          <w:szCs w:val="24"/>
          <w:rtl/>
        </w:rPr>
        <w:t xml:space="preserve">الإطار النظري ومفهوم الذكاء الاصطناعي في التعليم</w:t>
      </w:r>
    </w:p>
    <w:p>
      <w:pPr>
        <w:bidi/>
        <w:spacing w:after="120"/>
        <w:jc w:val="right"/>
      </w:pPr>
      <w:r>
        <w:rPr>
          <w:rFonts w:ascii="Arial" w:cs="Arial" w:eastAsia="Arial" w:hAnsi="Arial"/>
          <w:b/>
          <w:bCs/>
          <w:color w:val="C8902A"/>
          <w:sz w:val="24"/>
          <w:szCs w:val="24"/>
          <w:rtl/>
        </w:rPr>
        <w:t xml:space="preserve">03   </w:t>
      </w:r>
      <w:r>
        <w:rPr>
          <w:rFonts w:ascii="Arial" w:cs="Arial" w:eastAsia="Arial" w:hAnsi="Arial"/>
          <w:color w:val="1F2A2E"/>
          <w:sz w:val="24"/>
          <w:szCs w:val="24"/>
          <w:rtl/>
        </w:rPr>
        <w:t xml:space="preserve">الفرص والمنافع الأكاديميّة</w:t>
      </w:r>
    </w:p>
    <w:p>
      <w:pPr>
        <w:bidi/>
        <w:spacing w:after="120"/>
        <w:jc w:val="right"/>
      </w:pPr>
      <w:r>
        <w:rPr>
          <w:rFonts w:ascii="Arial" w:cs="Arial" w:eastAsia="Arial" w:hAnsi="Arial"/>
          <w:b/>
          <w:bCs/>
          <w:color w:val="C8902A"/>
          <w:sz w:val="24"/>
          <w:szCs w:val="24"/>
          <w:rtl/>
        </w:rPr>
        <w:t xml:space="preserve">04   </w:t>
      </w:r>
      <w:r>
        <w:rPr>
          <w:rFonts w:ascii="Arial" w:cs="Arial" w:eastAsia="Arial" w:hAnsi="Arial"/>
          <w:color w:val="1F2A2E"/>
          <w:sz w:val="24"/>
          <w:szCs w:val="24"/>
          <w:rtl/>
        </w:rPr>
        <w:t xml:space="preserve">التحدّيات والمخاوف الأخلاقيّة</w:t>
      </w:r>
    </w:p>
    <w:p>
      <w:pPr>
        <w:bidi/>
        <w:spacing w:after="120"/>
        <w:jc w:val="right"/>
      </w:pPr>
      <w:r>
        <w:rPr>
          <w:rFonts w:ascii="Arial" w:cs="Arial" w:eastAsia="Arial" w:hAnsi="Arial"/>
          <w:b/>
          <w:bCs/>
          <w:color w:val="C8902A"/>
          <w:sz w:val="24"/>
          <w:szCs w:val="24"/>
          <w:rtl/>
        </w:rPr>
        <w:t xml:space="preserve">05   </w:t>
      </w:r>
      <w:r>
        <w:rPr>
          <w:rFonts w:ascii="Arial" w:cs="Arial" w:eastAsia="Arial" w:hAnsi="Arial"/>
          <w:color w:val="1F2A2E"/>
          <w:sz w:val="24"/>
          <w:szCs w:val="24"/>
          <w:rtl/>
        </w:rPr>
        <w:t xml:space="preserve">التجربة السعوديّة ومستقبل التطبيق</w:t>
      </w:r>
    </w:p>
    <w:p>
      <w:pPr>
        <w:bidi/>
        <w:spacing w:after="120"/>
        <w:jc w:val="right"/>
      </w:pPr>
      <w:r>
        <w:rPr>
          <w:rFonts w:ascii="Arial" w:cs="Arial" w:eastAsia="Arial" w:hAnsi="Arial"/>
          <w:b/>
          <w:bCs/>
          <w:color w:val="C8902A"/>
          <w:sz w:val="24"/>
          <w:szCs w:val="24"/>
          <w:rtl/>
        </w:rPr>
        <w:t xml:space="preserve">06   </w:t>
      </w:r>
      <w:r>
        <w:rPr>
          <w:rFonts w:ascii="Arial" w:cs="Arial" w:eastAsia="Arial" w:hAnsi="Arial"/>
          <w:color w:val="1F2A2E"/>
          <w:sz w:val="24"/>
          <w:szCs w:val="24"/>
          <w:rtl/>
        </w:rPr>
        <w:t xml:space="preserve">الخاتمة والتوصيات</w:t>
      </w:r>
    </w:p>
    <w:p>
      <w:pPr>
        <w:bidi/>
        <w:spacing w:after="120"/>
        <w:jc w:val="right"/>
      </w:pPr>
      <w:r>
        <w:rPr>
          <w:rFonts w:ascii="Arial" w:cs="Arial" w:eastAsia="Arial" w:hAnsi="Arial"/>
          <w:b/>
          <w:bCs/>
          <w:color w:val="C8902A"/>
          <w:sz w:val="24"/>
          <w:szCs w:val="24"/>
          <w:rtl/>
        </w:rPr>
        <w:t xml:space="preserve">07   </w:t>
      </w:r>
      <w:r>
        <w:rPr>
          <w:rFonts w:ascii="Arial" w:cs="Arial" w:eastAsia="Arial" w:hAnsi="Arial"/>
          <w:color w:val="1F2A2E"/>
          <w:sz w:val="24"/>
          <w:szCs w:val="24"/>
          <w:rtl/>
        </w:rPr>
        <w:t xml:space="preserve">المراجع</w:t>
      </w:r>
    </w:p>
    <w:p>
      <w:r>
        <w:br w:type="page"/>
      </w:r>
    </w:p>
    <w:p>
      <w:pPr>
        <w:pStyle w:val="Heading1"/>
        <w:pBdr>
          <w:bottom w:val="single" w:color="DCE6E6" w:sz="6" w:space="6"/>
        </w:pBdr>
        <w:bidi/>
        <w:spacing w:after="150" w:before="360"/>
        <w:jc w:val="right"/>
      </w:pPr>
      <w:r>
        <w:rPr>
          <w:rFonts w:ascii="Arial" w:cs="Arial" w:eastAsia="Arial" w:hAnsi="Arial"/>
          <w:b/>
          <w:bCs/>
          <w:color w:val="C8902A"/>
          <w:sz w:val="30"/>
          <w:szCs w:val="30"/>
          <w:rtl/>
        </w:rPr>
        <w:t xml:space="preserve">1.  </w:t>
      </w:r>
      <w:r>
        <w:rPr>
          <w:rFonts w:ascii="Arial" w:cs="Arial" w:eastAsia="Arial" w:hAnsi="Arial"/>
          <w:b/>
          <w:bCs/>
          <w:color w:val="0E7C86"/>
          <w:sz w:val="30"/>
          <w:szCs w:val="30"/>
          <w:rtl/>
        </w:rPr>
        <w:t xml:space="preserve">المقدّمة</w:t>
      </w:r>
    </w:p>
    <w:p>
      <w:pPr>
        <w:bidi/>
        <w:spacing w:after="160" w:line="360"/>
        <w:jc w:val="both"/>
      </w:pPr>
      <w:r>
        <w:rPr>
          <w:rFonts w:ascii="Arial" w:cs="Arial" w:eastAsia="Arial" w:hAnsi="Arial"/>
          <w:color w:val="1F2A2E"/>
          <w:sz w:val="24"/>
          <w:szCs w:val="24"/>
          <w:rtl/>
        </w:rPr>
        <w:t xml:space="preserve">يشهد العالم تحوّلًا غير مسبوق في طرق التعلّم والتعليم بفعل تطوّر تقنيات الذكاء الاصطناعي، وتمثّل المملكة العربية السعوديّة نموذجًا متقدّمًا في تبنّي هذي التقنيات ضمن منظومة التعليم العالي تماشيًا مع مستهدفات رؤية 2030. وقد أصبح هذا التوجّه ضرورة استراتيجيّة لرفع جودة المخرجات التعليميّة وتمكين الطلاب من المنافسة في سوق العمل العالمي.</w:t>
      </w:r>
    </w:p>
    <w:p>
      <w:pPr>
        <w:bidi/>
        <w:spacing w:after="160" w:line="360"/>
        <w:jc w:val="both"/>
      </w:pPr>
      <w:r>
        <w:rPr>
          <w:rFonts w:ascii="Arial" w:cs="Arial" w:eastAsia="Arial" w:hAnsi="Arial"/>
          <w:color w:val="1F2A2E"/>
          <w:sz w:val="24"/>
          <w:szCs w:val="24"/>
          <w:rtl/>
        </w:rPr>
        <w:t xml:space="preserve">يهدف هذا البحث إلى استعراض الأثر المتعدّد الأبعاد للذكاء الاصطناعي على البيئة الأكاديميّة الجامعيّة، من خلال تحليل التطبيقات الحاليّة، والفرص المتاحة، والتحدّيات التي تواجه المؤسّسات التعليميّة والطلاب على حدٍّ سواء. كما يسعى البحث إلى تقديم توصيات عمليّة قابلة للتطبيق في السياق المحلّي.</w:t>
      </w:r>
    </w:p>
    <w:p>
      <w:pPr>
        <w:bidi/>
        <w:spacing w:after="160" w:line="360"/>
        <w:jc w:val="both"/>
      </w:pPr>
      <w:r>
        <w:rPr>
          <w:rFonts w:ascii="Arial" w:cs="Arial" w:eastAsia="Arial" w:hAnsi="Arial"/>
          <w:color w:val="1F2A2E"/>
          <w:sz w:val="24"/>
          <w:szCs w:val="24"/>
          <w:rtl/>
        </w:rPr>
        <w:t xml:space="preserve">يستند البحث إلى مراجعة منهجيّة لأحدث الدراسات الأكاديميّة، إضافة إلى تقارير المنظّمات الدوليّة كاليونسكو ومنظّمة التعاون الاقتصادي والتنمية، مع التركيز على التجربة السعوديّة في الجامعات الكبرى مثل جامعة الملك سعود وجامعة الملك فهد للبترول والمعادن.</w:t>
      </w:r>
    </w:p>
    <w:p>
      <w:pPr>
        <w:pStyle w:val="Heading1"/>
        <w:pBdr>
          <w:bottom w:val="single" w:color="DCE6E6" w:sz="6" w:space="6"/>
        </w:pBdr>
        <w:bidi/>
        <w:spacing w:after="150" w:before="360"/>
        <w:jc w:val="right"/>
      </w:pPr>
      <w:r>
        <w:rPr>
          <w:rFonts w:ascii="Arial" w:cs="Arial" w:eastAsia="Arial" w:hAnsi="Arial"/>
          <w:b/>
          <w:bCs/>
          <w:color w:val="C8902A"/>
          <w:sz w:val="30"/>
          <w:szCs w:val="30"/>
          <w:rtl/>
        </w:rPr>
        <w:t xml:space="preserve">2.  </w:t>
      </w:r>
      <w:r>
        <w:rPr>
          <w:rFonts w:ascii="Arial" w:cs="Arial" w:eastAsia="Arial" w:hAnsi="Arial"/>
          <w:b/>
          <w:bCs/>
          <w:color w:val="0E7C86"/>
          <w:sz w:val="30"/>
          <w:szCs w:val="30"/>
          <w:rtl/>
        </w:rPr>
        <w:t xml:space="preserve">الإطار النظري ومفهوم الذكاء الاصطناعي في التعليم</w:t>
      </w:r>
    </w:p>
    <w:p>
      <w:pPr>
        <w:bidi/>
        <w:spacing w:after="160" w:line="360"/>
        <w:jc w:val="both"/>
      </w:pPr>
      <w:r>
        <w:rPr>
          <w:rFonts w:ascii="Arial" w:cs="Arial" w:eastAsia="Arial" w:hAnsi="Arial"/>
          <w:color w:val="1F2A2E"/>
          <w:sz w:val="24"/>
          <w:szCs w:val="24"/>
          <w:rtl/>
        </w:rPr>
        <w:t xml:space="preserve">يُعرَّف الذكاء الاصطناعي في السياق التعليمي بأنّه مجموعة الأنظمة الحاسوبيّة القادرة على محاكاة العمليّات المعرفيّة البشريّة، كالتعلّم والاستنتاج وحلّ المشكلات، بغرض تحسين تجربة التعلّم. ويشمل ذلك تقنيات التعلّم الآلي، ومعالجة اللغات الطبيعيّة، والرؤية الحاسوبيّة، والروبوتات التعليميّة.</w:t>
      </w:r>
    </w:p>
    <w:p>
      <w:pPr>
        <w:bidi/>
        <w:spacing w:after="160" w:line="360"/>
        <w:jc w:val="both"/>
      </w:pPr>
      <w:r>
        <w:rPr>
          <w:rFonts w:ascii="Arial" w:cs="Arial" w:eastAsia="Arial" w:hAnsi="Arial"/>
          <w:color w:val="1F2A2E"/>
          <w:sz w:val="24"/>
          <w:szCs w:val="24"/>
          <w:rtl/>
        </w:rPr>
        <w:t xml:space="preserve">تتنوّع تطبيقات الذكاء الاصطناعي في الجامعات لتشمل أنظمة التعلّم التكيّفي (Adaptive Learning) التي تخصّص المحتوى لكل طالب بناءً على أدائه، والمساعدات الذكيّة (Intelligent Tutoring Systems) التي تقدّم دعمًا فرديًّا، وأنظمة التقييم الآلي للواجبات والاختبارات، فضلًا عن أنظمة التنبّؤ بالأداء الأكاديمي والتدخّل المبكّر.</w:t>
      </w:r>
    </w:p>
    <w:p>
      <w:pPr>
        <w:bidi/>
        <w:spacing w:after="160" w:line="360"/>
        <w:jc w:val="both"/>
      </w:pPr>
      <w:r>
        <w:rPr>
          <w:rFonts w:ascii="Arial" w:cs="Arial" w:eastAsia="Arial" w:hAnsi="Arial"/>
          <w:color w:val="1F2A2E"/>
          <w:sz w:val="24"/>
          <w:szCs w:val="24"/>
          <w:rtl/>
        </w:rPr>
        <w:t xml:space="preserve">في الإطار النظري، يمكن تصنيف تطبيقات الذكاء الاصطناعي ضمن ثلاث فئات رئيسيّة: (1) تطبيقات موجّهة للطالب لدعم التعلّم الذاتي، (2) تطبيقات موجّهة للمعلّم لتعزيز التدريس، (3) تطبيقات موجّهة للإدارة الجامعيّة لتحسين العمليّات.</w:t>
      </w:r>
    </w:p>
    <w:p>
      <w:pPr>
        <w:pStyle w:val="Heading1"/>
        <w:pBdr>
          <w:bottom w:val="single" w:color="DCE6E6" w:sz="6" w:space="6"/>
        </w:pBdr>
        <w:bidi/>
        <w:spacing w:after="150" w:before="360"/>
        <w:jc w:val="right"/>
      </w:pPr>
      <w:r>
        <w:rPr>
          <w:rFonts w:ascii="Arial" w:cs="Arial" w:eastAsia="Arial" w:hAnsi="Arial"/>
          <w:b/>
          <w:bCs/>
          <w:color w:val="C8902A"/>
          <w:sz w:val="30"/>
          <w:szCs w:val="30"/>
          <w:rtl/>
        </w:rPr>
        <w:t xml:space="preserve">3.  </w:t>
      </w:r>
      <w:r>
        <w:rPr>
          <w:rFonts w:ascii="Arial" w:cs="Arial" w:eastAsia="Arial" w:hAnsi="Arial"/>
          <w:b/>
          <w:bCs/>
          <w:color w:val="0E7C86"/>
          <w:sz w:val="30"/>
          <w:szCs w:val="30"/>
          <w:rtl/>
        </w:rPr>
        <w:t xml:space="preserve">الفرص والمنافع الأكاديميّة</w:t>
      </w:r>
    </w:p>
    <w:p>
      <w:pPr>
        <w:bidi/>
        <w:spacing w:after="160" w:line="360"/>
        <w:jc w:val="both"/>
      </w:pPr>
      <w:r>
        <w:rPr>
          <w:rFonts w:ascii="Arial" w:cs="Arial" w:eastAsia="Arial" w:hAnsi="Arial"/>
          <w:color w:val="1F2A2E"/>
          <w:sz w:val="24"/>
          <w:szCs w:val="24"/>
          <w:rtl/>
        </w:rPr>
        <w:t xml:space="preserve">تُوفّر تقنيات الذكاء الاصطناعي فرصًا غير مسبوقة لتعزيز جودة التعليم الجامعي، أبرزها: التخصيص العميق لتجربة كل طالب من خلال تحليل أنماط تعلّمه ومعالجة نقاط ضعفه بشكل فردي، الأمر الذي يحقّق ما أشار إليه بلوم في ظاهرة المعلّم الخاصّ (Bloom's 2 Sigma Problem).</w:t>
      </w:r>
    </w:p>
    <w:p>
      <w:pPr>
        <w:bidi/>
        <w:spacing w:after="160" w:line="360"/>
        <w:jc w:val="both"/>
      </w:pPr>
      <w:r>
        <w:rPr>
          <w:rFonts w:ascii="Arial" w:cs="Arial" w:eastAsia="Arial" w:hAnsi="Arial"/>
          <w:color w:val="1F2A2E"/>
          <w:sz w:val="24"/>
          <w:szCs w:val="24"/>
          <w:rtl/>
        </w:rPr>
        <w:t xml:space="preserve">إضافة إلى ذلك، تتيح هذي التقنيات الوصول إلى مصادر معرفيّة متعدّدة الوسائط بلغة الطالب الأمّ، مما يسهم في كسر الحاجز اللغوي وتقليص الفجوة بين الطلاب من مختلف الخلفيّات. كما تقلّل من الأعباء الإداريّة عن أعضاء هيئة التدريس، فتزيد من الوقت المتاح للتفاعل الأكاديمي العميق.</w:t>
      </w:r>
    </w:p>
    <w:p>
      <w:pPr>
        <w:bidi/>
        <w:spacing w:after="160" w:line="360"/>
        <w:jc w:val="both"/>
      </w:pPr>
      <w:r>
        <w:rPr>
          <w:rFonts w:ascii="Arial" w:cs="Arial" w:eastAsia="Arial" w:hAnsi="Arial"/>
          <w:color w:val="1F2A2E"/>
          <w:sz w:val="24"/>
          <w:szCs w:val="24"/>
          <w:rtl/>
        </w:rPr>
        <w:t xml:space="preserve">وعلى صعيد التطبيق العملي، أظهرت تجارب الجامعات الرائدة محليًّا وعالميًّا تحسّنًا ملموسًا في معدّلات التحصيل الأكاديمي، ورفع نسب رضا الطلاب، وتقليل معدّلات التسرّب الجامعي بنسبة تتراوح بين 15-25% في بعض الحالات.</w:t>
      </w:r>
    </w:p>
    <w:p>
      <w:pPr>
        <w:pStyle w:val="Heading1"/>
        <w:pBdr>
          <w:bottom w:val="single" w:color="DCE6E6" w:sz="6" w:space="6"/>
        </w:pBdr>
        <w:bidi/>
        <w:spacing w:after="150" w:before="360"/>
        <w:jc w:val="right"/>
      </w:pPr>
      <w:r>
        <w:rPr>
          <w:rFonts w:ascii="Arial" w:cs="Arial" w:eastAsia="Arial" w:hAnsi="Arial"/>
          <w:b/>
          <w:bCs/>
          <w:color w:val="C8902A"/>
          <w:sz w:val="30"/>
          <w:szCs w:val="30"/>
          <w:rtl/>
        </w:rPr>
        <w:t xml:space="preserve">4.  </w:t>
      </w:r>
      <w:r>
        <w:rPr>
          <w:rFonts w:ascii="Arial" w:cs="Arial" w:eastAsia="Arial" w:hAnsi="Arial"/>
          <w:b/>
          <w:bCs/>
          <w:color w:val="0E7C86"/>
          <w:sz w:val="30"/>
          <w:szCs w:val="30"/>
          <w:rtl/>
        </w:rPr>
        <w:t xml:space="preserve">التحدّيات والمخاوف الأخلاقيّة</w:t>
      </w:r>
    </w:p>
    <w:p>
      <w:pPr>
        <w:bidi/>
        <w:spacing w:after="160" w:line="360"/>
        <w:jc w:val="both"/>
      </w:pPr>
      <w:r>
        <w:rPr>
          <w:rFonts w:ascii="Arial" w:cs="Arial" w:eastAsia="Arial" w:hAnsi="Arial"/>
          <w:color w:val="1F2A2E"/>
          <w:sz w:val="24"/>
          <w:szCs w:val="24"/>
          <w:rtl/>
        </w:rPr>
        <w:t xml:space="preserve">بالمقابل، تطرح تقنيات الذكاء الاصطناعي تحدّيات جوهريّة يجب معالجتها بمسؤوليّة، أبرزها مسألة النزاهة الأكاديميّة. إذ يُثير ظهور النماذج التوليديّة كـ ChatGPT تساؤلات حول مدى أصالة الأعمال الطلابيّة، ويستدعي مراجعة منظومة التقييم التقليديّة. ولمعالجة هذي الإشكاليّة، تتّجه كثير من الجامعات نحو اعتماد تقييمات تفاعليّة وعمليّة بدلًا من المهام الكتابيّة التقليديّة.</w:t>
      </w:r>
    </w:p>
    <w:p>
      <w:pPr>
        <w:bidi/>
        <w:spacing w:after="160" w:line="360"/>
        <w:jc w:val="both"/>
      </w:pPr>
      <w:r>
        <w:rPr>
          <w:rFonts w:ascii="Arial" w:cs="Arial" w:eastAsia="Arial" w:hAnsi="Arial"/>
          <w:color w:val="1F2A2E"/>
          <w:sz w:val="24"/>
          <w:szCs w:val="24"/>
          <w:rtl/>
        </w:rPr>
        <w:t xml:space="preserve">كذلك تبرز قضيّة خصوصيّة البيانات الطلابيّة، حيث تتطلّب أنظمة الذكاء الاصطناعي كميّات هائلة من البيانات الشخصيّة والأكاديميّة، مما يستدعي وضع أطر تشريعيّة صارمة. وفي هذا السياق، يُمثّل نظام حماية البيانات الشخصيّة السعودي الصادر عام 2021 خطوة مهمّة في تنظيم هذي القضيّة محليًّا.</w:t>
      </w:r>
    </w:p>
    <w:p>
      <w:pPr>
        <w:bidi/>
        <w:spacing w:after="160" w:line="360"/>
        <w:jc w:val="both"/>
      </w:pPr>
      <w:r>
        <w:rPr>
          <w:rFonts w:ascii="Arial" w:cs="Arial" w:eastAsia="Arial" w:hAnsi="Arial"/>
          <w:color w:val="1F2A2E"/>
          <w:sz w:val="24"/>
          <w:szCs w:val="24"/>
          <w:rtl/>
        </w:rPr>
        <w:t xml:space="preserve">ومن المخاوف الأخرى، إمكانيّة الاعتماد المفرط من قبل الطلاب على هذي الأدوات، مما قد يُضعف مهارات التفكير النقدي والبحث المستقلّ. وهذا يتطلّب وعيًا مؤسّسيًّا بضرورة تطوير مهارات الطلاب في الاستخدام الواعي والنقدي لهذه التقنيات، لا الاكتفاء بتلقيها كأدوات جاهزة.</w:t>
      </w:r>
    </w:p>
    <w:p>
      <w:pPr>
        <w:pStyle w:val="Heading1"/>
        <w:pBdr>
          <w:bottom w:val="single" w:color="DCE6E6" w:sz="6" w:space="6"/>
        </w:pBdr>
        <w:bidi/>
        <w:spacing w:after="150" w:before="360"/>
        <w:jc w:val="right"/>
      </w:pPr>
      <w:r>
        <w:rPr>
          <w:rFonts w:ascii="Arial" w:cs="Arial" w:eastAsia="Arial" w:hAnsi="Arial"/>
          <w:b/>
          <w:bCs/>
          <w:color w:val="C8902A"/>
          <w:sz w:val="30"/>
          <w:szCs w:val="30"/>
          <w:rtl/>
        </w:rPr>
        <w:t xml:space="preserve">5.  </w:t>
      </w:r>
      <w:r>
        <w:rPr>
          <w:rFonts w:ascii="Arial" w:cs="Arial" w:eastAsia="Arial" w:hAnsi="Arial"/>
          <w:b/>
          <w:bCs/>
          <w:color w:val="0E7C86"/>
          <w:sz w:val="30"/>
          <w:szCs w:val="30"/>
          <w:rtl/>
        </w:rPr>
        <w:t xml:space="preserve">التجربة السعوديّة ومستقبل التطبيق</w:t>
      </w:r>
    </w:p>
    <w:p>
      <w:pPr>
        <w:bidi/>
        <w:spacing w:after="160" w:line="360"/>
        <w:jc w:val="both"/>
      </w:pPr>
      <w:r>
        <w:rPr>
          <w:rFonts w:ascii="Arial" w:cs="Arial" w:eastAsia="Arial" w:hAnsi="Arial"/>
          <w:color w:val="1F2A2E"/>
          <w:sz w:val="24"/>
          <w:szCs w:val="24"/>
          <w:rtl/>
        </w:rPr>
        <w:t xml:space="preserve">اتّخذت المملكة العربية السعوديّة خطوات استباقيّة في تبنّي الذكاء الاصطناعي ضمن منظومتها التعليميّة. فقد أطلقت الهيئة السعوديّة للبيانات والذكاء الاصطناعي (سدايا) عام 2019 لتكون المرجع الوطني في هذا المجال، وأصدرت الاستراتيجيّة الوطنيّة للبيانات والذكاء الاصطناعي عام 2020 التي تتضمّن مستهدفات تعليميّة طموحة.</w:t>
      </w:r>
    </w:p>
    <w:p>
      <w:pPr>
        <w:bidi/>
        <w:spacing w:after="160" w:line="360"/>
        <w:jc w:val="both"/>
      </w:pPr>
      <w:r>
        <w:rPr>
          <w:rFonts w:ascii="Arial" w:cs="Arial" w:eastAsia="Arial" w:hAnsi="Arial"/>
          <w:color w:val="1F2A2E"/>
          <w:sz w:val="24"/>
          <w:szCs w:val="24"/>
          <w:rtl/>
        </w:rPr>
        <w:t xml:space="preserve">وعلى الصعيد التطبيقي، انتهجت الجامعات السعوديّة الرائدة نهجًا متقدّمًا في دمج هذي التقنيات ضمن مقرّراتها وأنظمتها الإداريّة. فقد دشّنت جامعة الملك سعود برامج أكاديميّة متخصّصة في الذكاء الاصطناعي، وأطلقت جامعة الملك عبدالله للعلوم والتقنية (KAUST) مراكز بحثيّة متقدّمة. كذلك تستخدم الجامعات الحكوميّة بشكل متزايد منصّات التعلّم الذكيّة في إدارة المقرّرات وتقييم أداء الطلاب.</w:t>
      </w:r>
    </w:p>
    <w:p>
      <w:pPr>
        <w:bidi/>
        <w:spacing w:after="160" w:line="360"/>
        <w:jc w:val="both"/>
      </w:pPr>
      <w:r>
        <w:rPr>
          <w:rFonts w:ascii="Arial" w:cs="Arial" w:eastAsia="Arial" w:hAnsi="Arial"/>
          <w:color w:val="1F2A2E"/>
          <w:sz w:val="24"/>
          <w:szCs w:val="24"/>
          <w:rtl/>
        </w:rPr>
        <w:t xml:space="preserve">تستشرف الرؤية المستقبليّة دمجًا أعمق للذكاء الاصطناعي في كل جوانب التجربة الجامعيّة، بدءًا من القبول والتسجيل، مرورًا بالتدريس والتقييم، وصولًا إلى التوجيه المهني وربط الخرّيجين بسوق العمل. ومن المتوقّع أن تشهد السنوات القادمة ظهور جامعات هجينة تجمع بين التعلّم الإلكتروني المعزّز بالذكاء الاصطناعي والتعلّم الحضوري التقليدي.</w:t>
      </w:r>
    </w:p>
    <w:p>
      <w:pPr>
        <w:pStyle w:val="Heading1"/>
        <w:pBdr>
          <w:bottom w:val="single" w:color="DCE6E6" w:sz="6" w:space="6"/>
        </w:pBdr>
        <w:bidi/>
        <w:spacing w:after="150" w:before="360"/>
        <w:jc w:val="right"/>
      </w:pPr>
      <w:r>
        <w:rPr>
          <w:rFonts w:ascii="Arial" w:cs="Arial" w:eastAsia="Arial" w:hAnsi="Arial"/>
          <w:b/>
          <w:bCs/>
          <w:color w:val="C8902A"/>
          <w:sz w:val="30"/>
          <w:szCs w:val="30"/>
          <w:rtl/>
        </w:rPr>
        <w:t xml:space="preserve">6.  </w:t>
      </w:r>
      <w:r>
        <w:rPr>
          <w:rFonts w:ascii="Arial" w:cs="Arial" w:eastAsia="Arial" w:hAnsi="Arial"/>
          <w:b/>
          <w:bCs/>
          <w:color w:val="0E7C86"/>
          <w:sz w:val="30"/>
          <w:szCs w:val="30"/>
          <w:rtl/>
        </w:rPr>
        <w:t xml:space="preserve">الخاتمة والتوصيات</w:t>
      </w:r>
    </w:p>
    <w:p>
      <w:pPr>
        <w:bidi/>
        <w:spacing w:after="160" w:line="360"/>
        <w:jc w:val="both"/>
      </w:pPr>
      <w:r>
        <w:rPr>
          <w:rFonts w:ascii="Arial" w:cs="Arial" w:eastAsia="Arial" w:hAnsi="Arial"/>
          <w:color w:val="1F2A2E"/>
          <w:sz w:val="24"/>
          <w:szCs w:val="24"/>
          <w:rtl/>
        </w:rPr>
        <w:t xml:space="preserve">يمثّل الذكاء الاصطناعي تحوّلًا جوهريًّا في منظومة التعليم الجامعي يستوجب التعامل معه بحكمة استراتيجيّة تجمع بين الانفتاح على فوائده والوعي بمخاطره. وقد بيّن البحث أنّ التجربة السعوديّة، رغم حداثتها النسبيّة، تسير في الاتّجاه الصحيح، لكنّها تحتاج إلى مزيد من التطوير المؤسّسي والتشريعي.</w:t>
      </w:r>
    </w:p>
    <w:p>
      <w:pPr>
        <w:bidi/>
        <w:spacing w:after="160" w:line="360"/>
        <w:jc w:val="both"/>
      </w:pPr>
      <w:r>
        <w:rPr>
          <w:rFonts w:ascii="Arial" w:cs="Arial" w:eastAsia="Arial" w:hAnsi="Arial"/>
          <w:color w:val="1F2A2E"/>
          <w:sz w:val="24"/>
          <w:szCs w:val="24"/>
          <w:rtl/>
        </w:rPr>
        <w:t xml:space="preserve">بناءً على ما سبق، يوصي البحث بـ: (1) تطوير برامج تأهيل أعضاء هيئة التدريس على الاستخدام التربوي المتقدّم لتقنيات الذكاء الاصطناعي، (2) مراجعة منظومة التقييم الأكاديمي بما يتلاءم مع الواقع الجديد، (3) تعزيز الشراكات مع الشركات التقنيّة المحليّة والعالميّة لتطوير حلول مخصّصة للسياق السعودي، (4) إدراج مفاهيم الاستخدام الواعي للذكاء الاصطناعي ضمن مهارات الخرّيج الأساسيّة.</w:t>
      </w:r>
    </w:p>
    <w:p>
      <w:pPr>
        <w:bidi/>
        <w:spacing w:after="160" w:line="360"/>
        <w:jc w:val="both"/>
      </w:pPr>
      <w:r>
        <w:rPr>
          <w:rFonts w:ascii="Arial" w:cs="Arial" w:eastAsia="Arial" w:hAnsi="Arial"/>
          <w:color w:val="1F2A2E"/>
          <w:sz w:val="24"/>
          <w:szCs w:val="24"/>
          <w:rtl/>
        </w:rPr>
        <w:t xml:space="preserve">وفي المحصّلة، فإنّ مستقبل التعليم الجامعي في المملكة سيرتبط ارتباطًا وثيقًا بقدرة المؤسّسات على تبنّي هذي التقنيات بشكل استراتيجي ومتوازن، يحفظ ثوابت المنظومة التعليميّة الإسلاميّة العربيّة، ويستثمر في الوقت ذاته الإمكانات الهائلة التي توفّرها هذي التقنيات في خدمة الطالب والمجتمع والدولة.</w:t>
      </w:r>
    </w:p>
    <w:p>
      <w:pPr>
        <w:pStyle w:val="Heading1"/>
        <w:pBdr>
          <w:bottom w:val="single" w:color="DCE6E6" w:sz="6" w:space="6"/>
        </w:pBdr>
        <w:bidi/>
        <w:spacing w:after="150" w:before="360"/>
        <w:jc w:val="right"/>
      </w:pPr>
      <w:r>
        <w:rPr>
          <w:rFonts w:ascii="Arial" w:cs="Arial" w:eastAsia="Arial" w:hAnsi="Arial"/>
          <w:b/>
          <w:bCs/>
          <w:color w:val="C8902A"/>
          <w:sz w:val="30"/>
          <w:szCs w:val="30"/>
          <w:rtl/>
        </w:rPr>
        <w:t xml:space="preserve">7.  </w:t>
      </w:r>
      <w:r>
        <w:rPr>
          <w:rFonts w:ascii="Arial" w:cs="Arial" w:eastAsia="Arial" w:hAnsi="Arial"/>
          <w:b/>
          <w:bCs/>
          <w:color w:val="0E7C86"/>
          <w:sz w:val="30"/>
          <w:szCs w:val="30"/>
          <w:rtl/>
        </w:rPr>
        <w:t xml:space="preserve">المراجع</w:t>
      </w:r>
    </w:p>
    <w:p>
      <w:pPr>
        <w:bidi/>
        <w:spacing w:after="130" w:line="320"/>
        <w:ind w:right="360" w:hanging="360"/>
        <w:jc w:val="right"/>
      </w:pPr>
      <w:r>
        <w:rPr>
          <w:rFonts w:ascii="Arial" w:cs="Arial" w:eastAsia="Arial" w:hAnsi="Arial"/>
          <w:b/>
          <w:bCs/>
          <w:color w:val="C8902A"/>
          <w:sz w:val="22"/>
          <w:szCs w:val="22"/>
          <w:rtl/>
        </w:rPr>
        <w:t xml:space="preserve">[1]   </w:t>
      </w:r>
      <w:r>
        <w:rPr>
          <w:rFonts w:ascii="Arial" w:cs="Arial" w:eastAsia="Arial" w:hAnsi="Arial"/>
          <w:color w:val="1F2A2E"/>
          <w:sz w:val="22"/>
          <w:szCs w:val="22"/>
          <w:rtl/>
        </w:rPr>
        <w:t xml:space="preserve">الهيئة السعوديّة للبيانات والذكاء الاصطناعي (سدايا). (2020). الاستراتيجيّة الوطنيّة للبيانات والذكاء الاصطناعي. الرياض: سدايا.</w:t>
      </w:r>
    </w:p>
    <w:p>
      <w:pPr>
        <w:bidi/>
        <w:spacing w:after="130" w:line="320"/>
        <w:ind w:right="360" w:hanging="360"/>
        <w:jc w:val="right"/>
      </w:pPr>
      <w:r>
        <w:rPr>
          <w:rFonts w:ascii="Arial" w:cs="Arial" w:eastAsia="Arial" w:hAnsi="Arial"/>
          <w:b/>
          <w:bCs/>
          <w:color w:val="C8902A"/>
          <w:sz w:val="22"/>
          <w:szCs w:val="22"/>
          <w:rtl/>
        </w:rPr>
        <w:t xml:space="preserve">[2]   </w:t>
      </w:r>
      <w:r>
        <w:rPr>
          <w:rFonts w:ascii="Arial" w:cs="Arial" w:eastAsia="Arial" w:hAnsi="Arial"/>
          <w:color w:val="1F2A2E"/>
          <w:sz w:val="22"/>
          <w:szCs w:val="22"/>
          <w:rtl/>
        </w:rPr>
        <w:t xml:space="preserve">وزارة التعليم. (2022). تقرير حالة التعليم العالي في المملكة العربية السعوديّة. الرياض: وزارة التعليم.</w:t>
      </w:r>
    </w:p>
    <w:p>
      <w:pPr>
        <w:bidi/>
        <w:spacing w:after="130" w:line="320"/>
        <w:ind w:right="360" w:hanging="360"/>
        <w:jc w:val="right"/>
      </w:pPr>
      <w:r>
        <w:rPr>
          <w:rFonts w:ascii="Arial" w:cs="Arial" w:eastAsia="Arial" w:hAnsi="Arial"/>
          <w:b/>
          <w:bCs/>
          <w:color w:val="C8902A"/>
          <w:sz w:val="22"/>
          <w:szCs w:val="22"/>
          <w:rtl/>
        </w:rPr>
        <w:t xml:space="preserve">[3]   </w:t>
      </w:r>
      <w:r>
        <w:rPr>
          <w:rFonts w:ascii="Arial" w:cs="Arial" w:eastAsia="Arial" w:hAnsi="Arial"/>
          <w:color w:val="1F2A2E"/>
          <w:sz w:val="22"/>
          <w:szCs w:val="22"/>
          <w:rtl/>
        </w:rPr>
        <w:t xml:space="preserve">Bloom, B. S. (1984). The 2 Sigma Problem: The Search for Methods of Group Instruction as Effective as One-to-One Tutoring. Educational Researcher, 13(6), 4–16.</w:t>
      </w:r>
    </w:p>
    <w:p>
      <w:pPr>
        <w:bidi/>
        <w:spacing w:after="130" w:line="320"/>
        <w:ind w:right="360" w:hanging="360"/>
        <w:jc w:val="right"/>
      </w:pPr>
      <w:r>
        <w:rPr>
          <w:rFonts w:ascii="Arial" w:cs="Arial" w:eastAsia="Arial" w:hAnsi="Arial"/>
          <w:b/>
          <w:bCs/>
          <w:color w:val="C8902A"/>
          <w:sz w:val="22"/>
          <w:szCs w:val="22"/>
          <w:rtl/>
        </w:rPr>
        <w:t xml:space="preserve">[4]   </w:t>
      </w:r>
      <w:r>
        <w:rPr>
          <w:rFonts w:ascii="Arial" w:cs="Arial" w:eastAsia="Arial" w:hAnsi="Arial"/>
          <w:color w:val="1F2A2E"/>
          <w:sz w:val="22"/>
          <w:szCs w:val="22"/>
          <w:rtl/>
        </w:rPr>
        <w:t xml:space="preserve">UNESCO. (2023). Artificial Intelligence and Education: Guidance for Policy-makers. Paris: UNESCO Publishing.</w:t>
      </w:r>
    </w:p>
    <w:p>
      <w:pPr>
        <w:bidi/>
        <w:spacing w:after="130" w:line="320"/>
        <w:ind w:right="360" w:hanging="360"/>
        <w:jc w:val="right"/>
      </w:pPr>
      <w:r>
        <w:rPr>
          <w:rFonts w:ascii="Arial" w:cs="Arial" w:eastAsia="Arial" w:hAnsi="Arial"/>
          <w:b/>
          <w:bCs/>
          <w:color w:val="C8902A"/>
          <w:sz w:val="22"/>
          <w:szCs w:val="22"/>
          <w:rtl/>
        </w:rPr>
        <w:t xml:space="preserve">[5]   </w:t>
      </w:r>
      <w:r>
        <w:rPr>
          <w:rFonts w:ascii="Arial" w:cs="Arial" w:eastAsia="Arial" w:hAnsi="Arial"/>
          <w:color w:val="1F2A2E"/>
          <w:sz w:val="22"/>
          <w:szCs w:val="22"/>
          <w:rtl/>
        </w:rPr>
        <w:t xml:space="preserve">OECD. (2023). AI and the Future of Skills, Volume 2: Methods for Evaluating AI Capabilities. OECD Publishing.</w:t>
      </w:r>
    </w:p>
    <w:p>
      <w:pPr>
        <w:bidi/>
        <w:spacing w:after="130" w:line="320"/>
        <w:ind w:right="360" w:hanging="360"/>
        <w:jc w:val="right"/>
      </w:pPr>
      <w:r>
        <w:rPr>
          <w:rFonts w:ascii="Arial" w:cs="Arial" w:eastAsia="Arial" w:hAnsi="Arial"/>
          <w:b/>
          <w:bCs/>
          <w:color w:val="C8902A"/>
          <w:sz w:val="22"/>
          <w:szCs w:val="22"/>
          <w:rtl/>
        </w:rPr>
        <w:t xml:space="preserve">[6]   </w:t>
      </w:r>
      <w:r>
        <w:rPr>
          <w:rFonts w:ascii="Arial" w:cs="Arial" w:eastAsia="Arial" w:hAnsi="Arial"/>
          <w:color w:val="1F2A2E"/>
          <w:sz w:val="22"/>
          <w:szCs w:val="22"/>
          <w:rtl/>
        </w:rPr>
        <w:t xml:space="preserve">Holmes, W., Bialik, M., &amp; Fadel, C. (2019). Artificial Intelligence in Education: Promises and Implications for Teaching and Learning. Boston: Center for Curriculum Redesign.</w:t>
      </w:r>
    </w:p>
    <w:p>
      <w:pPr>
        <w:bidi/>
        <w:spacing w:after="130" w:line="320"/>
        <w:ind w:right="360" w:hanging="360"/>
        <w:jc w:val="right"/>
      </w:pPr>
      <w:r>
        <w:rPr>
          <w:rFonts w:ascii="Arial" w:cs="Arial" w:eastAsia="Arial" w:hAnsi="Arial"/>
          <w:b/>
          <w:bCs/>
          <w:color w:val="C8902A"/>
          <w:sz w:val="22"/>
          <w:szCs w:val="22"/>
          <w:rtl/>
        </w:rPr>
        <w:t xml:space="preserve">[7]   </w:t>
      </w:r>
      <w:r>
        <w:rPr>
          <w:rFonts w:ascii="Arial" w:cs="Arial" w:eastAsia="Arial" w:hAnsi="Arial"/>
          <w:color w:val="1F2A2E"/>
          <w:sz w:val="22"/>
          <w:szCs w:val="22"/>
          <w:rtl/>
        </w:rPr>
        <w:t xml:space="preserve">Luckin, R., Holmes, W., Griffiths, M., &amp; Forcier, L. B. (2016). Intelligence Unleashed: An Argument for AI in Education. London: Pearson Education.</w:t>
      </w:r>
    </w:p>
    <w:p>
      <w:pPr>
        <w:bidi/>
        <w:spacing w:after="130" w:line="320"/>
        <w:ind w:right="360" w:hanging="360"/>
        <w:jc w:val="right"/>
      </w:pPr>
      <w:r>
        <w:rPr>
          <w:rFonts w:ascii="Arial" w:cs="Arial" w:eastAsia="Arial" w:hAnsi="Arial"/>
          <w:b/>
          <w:bCs/>
          <w:color w:val="C8902A"/>
          <w:sz w:val="22"/>
          <w:szCs w:val="22"/>
          <w:rtl/>
        </w:rPr>
        <w:t xml:space="preserve">[8]   </w:t>
      </w:r>
      <w:r>
        <w:rPr>
          <w:rFonts w:ascii="Arial" w:cs="Arial" w:eastAsia="Arial" w:hAnsi="Arial"/>
          <w:color w:val="1F2A2E"/>
          <w:sz w:val="22"/>
          <w:szCs w:val="22"/>
          <w:rtl/>
        </w:rPr>
        <w:t xml:space="preserve">نظام حماية البيانات الشخصيّة. (2021). المرسوم الملكي رقم م/19. الرياض: هيئة الخبراء بمجلس الوزراء.</w:t>
      </w:r>
    </w:p>
    <w:sectPr>
      <w:headerReference w:type="default" r:id="rId7"/>
      <w:footerReference w:type="default" r:id="rId8"/>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DCE6E6" w:sz="4" w:space="6"/>
      </w:pBdr>
      <w:spacing w:before="80"/>
      <w:jc w:val="center"/>
    </w:pPr>
    <w:r>
      <w:rPr>
        <w:rFonts w:ascii="Arial" w:cs="Arial" w:eastAsia="Arial" w:hAnsi="Arial"/>
        <w:color w:val="8A9499"/>
        <w:sz w:val="18"/>
        <w:szCs w:val="18"/>
        <w:rtl/>
      </w:rPr>
      <w:t xml:space="preserve">صفحة </w:t>
    </w:r>
    <w:r>
      <w:rPr>
        <w:rFonts w:ascii="Arial" w:cs="Arial" w:eastAsia="Arial" w:hAnsi="Arial"/>
        <w:color w:val="8A9499"/>
        <w:sz w:val="18"/>
        <w:szCs w:val="18"/>
        <w:rtl/>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E4EBEB" w:sz="3" w:space="4"/>
      </w:pBdr>
      <w:spacing w:after="40"/>
      <w:jc w:val="right"/>
    </w:pPr>
    <w:r>
      <w:rPr>
        <w:rFonts w:ascii="Arial" w:cs="Arial" w:eastAsia="Arial" w:hAnsi="Arial"/>
        <w:color w:val="9AA7A9"/>
        <w:sz w:val="16"/>
        <w:szCs w:val="16"/>
        <w:rtl/>
      </w:rPr>
      <w:t xml:space="preserve">أثر الذكاء الاصطناعي على التعليم الجامعي في المملكة العربية السعودية</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rtl/>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2026-05-28T15:11:14.655Z</dcterms:created>
  <dcterms:modified xsi:type="dcterms:W3CDTF">2026-05-28T15:11:14.656Z</dcterms:modified>
</cp:coreProperties>
</file>

<file path=docProps/custom.xml><?xml version="1.0" encoding="utf-8"?>
<Properties xmlns="http://schemas.openxmlformats.org/officeDocument/2006/custom-properties" xmlns:vt="http://schemas.openxmlformats.org/officeDocument/2006/docPropsVTypes"/>
</file>